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BAD61" w14:textId="77777777" w:rsidR="006005D9" w:rsidRPr="006005D9" w:rsidRDefault="006005D9" w:rsidP="006005D9">
      <w:pPr>
        <w:outlineLvl w:val="0"/>
        <w:rPr>
          <w:rFonts w:cs="Calibri"/>
          <w:b/>
          <w:bCs/>
          <w:color w:val="000000"/>
          <w:kern w:val="36"/>
          <w:sz w:val="48"/>
          <w:szCs w:val="48"/>
        </w:rPr>
      </w:pPr>
      <w:r w:rsidRPr="006005D9">
        <w:rPr>
          <w:rFonts w:cs="Calibri"/>
          <w:b/>
          <w:bCs/>
          <w:color w:val="000000"/>
          <w:kern w:val="36"/>
          <w:sz w:val="48"/>
          <w:szCs w:val="48"/>
        </w:rPr>
        <w:t>Access Control Policy</w:t>
      </w:r>
    </w:p>
    <w:p w14:paraId="5C86647B" w14:textId="77777777" w:rsidR="006005D9" w:rsidRPr="00700CAA" w:rsidRDefault="006005D9" w:rsidP="006005D9">
      <w:pPr>
        <w:outlineLvl w:val="0"/>
        <w:rPr>
          <w:rFonts w:cs="Calibri"/>
          <w:b/>
          <w:bCs/>
          <w:color w:val="000000"/>
          <w:kern w:val="36"/>
        </w:rPr>
      </w:pPr>
    </w:p>
    <w:p w14:paraId="2AC9BCF8" w14:textId="3FD5E26D" w:rsidR="006005D9" w:rsidRPr="00700CAA" w:rsidRDefault="006005D9" w:rsidP="006005D9">
      <w:pPr>
        <w:rPr>
          <w:rFonts w:cs="Calibri"/>
          <w:color w:val="000000"/>
        </w:rPr>
      </w:pPr>
      <w:r w:rsidRPr="00700CAA">
        <w:rPr>
          <w:rFonts w:cs="Calibri"/>
          <w:b/>
          <w:bCs/>
          <w:color w:val="000000"/>
        </w:rPr>
        <w:t>No:</w:t>
      </w:r>
      <w:r w:rsidRPr="00700CAA">
        <w:rPr>
          <w:rFonts w:cs="Calibri"/>
          <w:color w:val="000000"/>
        </w:rPr>
        <w:t> IT-00</w:t>
      </w:r>
      <w:r>
        <w:rPr>
          <w:rFonts w:cs="Calibri"/>
          <w:color w:val="000000"/>
        </w:rPr>
        <w:t>2</w:t>
      </w:r>
    </w:p>
    <w:p w14:paraId="0C8D9FAC" w14:textId="6F6B49E7" w:rsidR="006005D9" w:rsidRDefault="006005D9" w:rsidP="003A5CFB">
      <w:pPr>
        <w:rPr>
          <w:rFonts w:cs="Calibri"/>
          <w:color w:val="000000"/>
        </w:rPr>
      </w:pPr>
      <w:r w:rsidRPr="00700CAA">
        <w:rPr>
          <w:rFonts w:cs="Calibri"/>
          <w:b/>
          <w:bCs/>
          <w:color w:val="000000"/>
        </w:rPr>
        <w:t>IT Standard:</w:t>
      </w:r>
      <w:r w:rsidRPr="00700CAA">
        <w:rPr>
          <w:rFonts w:cs="Calibri"/>
          <w:color w:val="000000"/>
        </w:rPr>
        <w:t> Acc</w:t>
      </w:r>
      <w:r>
        <w:rPr>
          <w:rFonts w:cs="Calibri"/>
          <w:color w:val="000000"/>
        </w:rPr>
        <w:t>ess</w:t>
      </w:r>
      <w:r w:rsidRPr="00700CAA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Control</w:t>
      </w:r>
      <w:r w:rsidRPr="00700CAA">
        <w:rPr>
          <w:rFonts w:cs="Calibri"/>
          <w:color w:val="000000"/>
        </w:rPr>
        <w:t xml:space="preserve"> of Information Technology Resources Policy</w:t>
      </w:r>
      <w:r w:rsidRPr="00700CAA">
        <w:rPr>
          <w:rFonts w:cs="Calibri"/>
          <w:color w:val="000000"/>
        </w:rPr>
        <w:br/>
      </w:r>
      <w:r w:rsidRPr="00700CAA">
        <w:rPr>
          <w:rFonts w:cs="Calibri"/>
          <w:b/>
          <w:bCs/>
          <w:color w:val="000000"/>
        </w:rPr>
        <w:t>Updated:</w:t>
      </w:r>
      <w:r w:rsidRPr="00700CAA">
        <w:rPr>
          <w:rFonts w:cs="Calibri"/>
          <w:color w:val="000000"/>
        </w:rPr>
        <w:t> July 20, 2025</w:t>
      </w:r>
      <w:r w:rsidRPr="00700CAA">
        <w:rPr>
          <w:rFonts w:cs="Calibri"/>
          <w:color w:val="000000"/>
        </w:rPr>
        <w:br/>
      </w:r>
      <w:r w:rsidRPr="00700CAA">
        <w:rPr>
          <w:rFonts w:cs="Calibri"/>
          <w:b/>
          <w:bCs/>
          <w:color w:val="000000"/>
        </w:rPr>
        <w:t>Issued By:</w:t>
      </w:r>
      <w:r w:rsidRPr="00700CAA">
        <w:rPr>
          <w:rFonts w:cs="Calibri"/>
          <w:color w:val="000000"/>
        </w:rPr>
        <w:t> Chief Information Officer</w:t>
      </w:r>
      <w:r w:rsidRPr="00700CAA">
        <w:rPr>
          <w:rFonts w:cs="Calibri"/>
          <w:color w:val="000000"/>
        </w:rPr>
        <w:br/>
      </w:r>
      <w:r w:rsidRPr="00700CAA">
        <w:rPr>
          <w:rFonts w:cs="Calibri"/>
          <w:b/>
          <w:bCs/>
          <w:color w:val="000000"/>
        </w:rPr>
        <w:t>Owner:</w:t>
      </w:r>
      <w:r w:rsidRPr="00700CAA">
        <w:rPr>
          <w:rFonts w:cs="Calibri"/>
          <w:color w:val="000000"/>
        </w:rPr>
        <w:t> Information Security Office </w:t>
      </w:r>
    </w:p>
    <w:p w14:paraId="30473839" w14:textId="77777777" w:rsidR="003A5CFB" w:rsidRPr="003A5CFB" w:rsidRDefault="003A5CFB" w:rsidP="003A5CFB">
      <w:pPr>
        <w:rPr>
          <w:rFonts w:cs="Calibri"/>
          <w:color w:val="000000"/>
        </w:rPr>
      </w:pPr>
    </w:p>
    <w:p w14:paraId="30334FB2" w14:textId="77777777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Purpose</w:t>
      </w:r>
    </w:p>
    <w:p w14:paraId="3B851AB5" w14:textId="423C605D" w:rsidR="006005D9" w:rsidRDefault="006005D9" w:rsidP="006005D9">
      <w:pPr>
        <w:rPr>
          <w:rFonts w:cs="Calibri"/>
          <w:color w:val="000000"/>
        </w:rPr>
      </w:pPr>
      <w:r>
        <w:rPr>
          <w:rFonts w:cs="Calibri"/>
          <w:color w:val="000000"/>
        </w:rPr>
        <w:t>This policy guarantees that access controls are put in place to protect [Entity]'s IT resources and data, in line with NIST Cybersecurity Framework (CSF) 2.0, NIST SP 800-53 Revision 5, NIST SP 800-63B, and related standards. It specifies requirements for managing and enforcing access to maintain confidentiality, integrity, and availability.</w:t>
      </w:r>
    </w:p>
    <w:p w14:paraId="28E241F9" w14:textId="77777777" w:rsidR="006005D9" w:rsidRPr="006005D9" w:rsidRDefault="006005D9" w:rsidP="006005D9">
      <w:pPr>
        <w:rPr>
          <w:rFonts w:cs="Calibri"/>
          <w:color w:val="000000"/>
        </w:rPr>
      </w:pPr>
    </w:p>
    <w:p w14:paraId="7C5E70AF" w14:textId="77777777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Reference</w:t>
      </w:r>
    </w:p>
    <w:p w14:paraId="4E15EF19" w14:textId="77777777" w:rsidR="006005D9" w:rsidRPr="006005D9" w:rsidRDefault="006005D9" w:rsidP="006005D9">
      <w:pPr>
        <w:numPr>
          <w:ilvl w:val="0"/>
          <w:numId w:val="1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NIST Special Publications: SP 800-53 Rev 5 (Access Control, AC), SP 800-12, SP 800-46, SP 800-48, SP 800-77, SP 800-94, SP 800-97, SP 800-100, SP 800-113, SP 800-114, SP 800-121, SP 800-124, SP 800-164</w:t>
      </w:r>
    </w:p>
    <w:p w14:paraId="3A825FC9" w14:textId="77777777" w:rsidR="006005D9" w:rsidRPr="006005D9" w:rsidRDefault="006005D9" w:rsidP="006005D9">
      <w:pPr>
        <w:numPr>
          <w:ilvl w:val="0"/>
          <w:numId w:val="1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NIST Federal Information Processing Standards (FIPS): 199, 140-3</w:t>
      </w:r>
    </w:p>
    <w:p w14:paraId="36A1635C" w14:textId="77777777" w:rsidR="006005D9" w:rsidRPr="006005D9" w:rsidRDefault="006005D9" w:rsidP="006005D9">
      <w:pPr>
        <w:numPr>
          <w:ilvl w:val="0"/>
          <w:numId w:val="1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[Entity] Information Security Policy, Acceptable Use Policy, Data Protection Policy</w:t>
      </w:r>
    </w:p>
    <w:p w14:paraId="0ECB3BD5" w14:textId="77777777" w:rsid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86D82E2" w14:textId="0B09B757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Policy</w:t>
      </w:r>
    </w:p>
    <w:p w14:paraId="4C42F65C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This policy applies to all departments, users, and systems accessing [Entity]'s IT resources, including networks, devices, and data. It complements related policies (e.g., Incident Response, Configuration Management).</w:t>
      </w:r>
    </w:p>
    <w:p w14:paraId="4636C4E5" w14:textId="77777777" w:rsidR="006005D9" w:rsidRPr="006005D9" w:rsidRDefault="006005D9" w:rsidP="006005D9">
      <w:pPr>
        <w:rPr>
          <w:rFonts w:cs="Calibri"/>
          <w:color w:val="000000"/>
        </w:rPr>
      </w:pPr>
    </w:p>
    <w:p w14:paraId="3FF21498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1. Account Management</w:t>
      </w:r>
    </w:p>
    <w:p w14:paraId="4BB89CC2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per NIST SP 800-53 (AC-2):</w:t>
      </w:r>
    </w:p>
    <w:p w14:paraId="40CFEB63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>
        <w:rPr>
          <w:rFonts w:cs="Calibri"/>
          <w:color w:val="000000"/>
        </w:rPr>
        <w:t>I</w:t>
      </w:r>
      <w:r w:rsidRPr="006005D9">
        <w:rPr>
          <w:rFonts w:cs="Calibri"/>
          <w:color w:val="000000"/>
        </w:rPr>
        <w:t>dentify account types supporting [Entity]'s mission: individual, shared, group, system, guest/anonymous, emergency, developer/vendor, temporary, and service.</w:t>
      </w:r>
      <w:r w:rsidRPr="006005D9">
        <w:rPr>
          <w:rFonts w:cs="Calibri"/>
          <w:color w:val="000000"/>
        </w:rPr>
        <w:br/>
        <w:t>b. Assign account managers for all information system accounts.</w:t>
      </w:r>
    </w:p>
    <w:p w14:paraId="53580021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Establish conditions for group and role membership, documented in the [Entity] Role-Based Access Control (RBAC) Policy.</w:t>
      </w:r>
    </w:p>
    <w:p w14:paraId="394614BF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Specify authorised users, group/role membership, access privileges, and attributes for each account.</w:t>
      </w:r>
    </w:p>
    <w:p w14:paraId="36256D67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Require system owner approval for account creation requests.</w:t>
      </w:r>
    </w:p>
    <w:p w14:paraId="5B52103A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Create, enable, modify, disable, or remove accounts according to the [Entity] Account Management Procedures.</w:t>
      </w:r>
    </w:p>
    <w:p w14:paraId="2BB9BC09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Monitor account usage via automated tools (e.g., SIEM systems), in accordance with NIST SP 800-137.</w:t>
      </w:r>
    </w:p>
    <w:p w14:paraId="295A95CC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Notify account managers within 24 hours when accounts are no longer needed, users are terminated or transferred, or there are changes in usage or need-to-know.</w:t>
      </w:r>
    </w:p>
    <w:p w14:paraId="2F847370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Authorise access based on valid authorisation and the intended system usage.</w:t>
      </w:r>
    </w:p>
    <w:p w14:paraId="5B82E551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lastRenderedPageBreak/>
        <w:t>Review accounts for compliance quarterly, including immediate termination of access upon employee separation (AC-2(3)).</w:t>
      </w:r>
    </w:p>
    <w:p w14:paraId="75E2C626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Reissue credentials for shared or group accounts when group membership changes.</w:t>
      </w:r>
    </w:p>
    <w:p w14:paraId="6656CCC4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Utilise automated mechanisms (e.g., identity management systems) for managing accounts.</w:t>
      </w:r>
    </w:p>
    <w:p w14:paraId="3A03D583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Automatically disable temporary or emergency accounts after 30 days.</w:t>
      </w:r>
    </w:p>
    <w:p w14:paraId="10B29D7E" w14:textId="77777777" w:rsid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Automatically disable inactive accounts after 90 days.</w:t>
      </w:r>
    </w:p>
    <w:p w14:paraId="450CD7A5" w14:textId="15B9B71D" w:rsidR="006005D9" w:rsidRPr="006005D9" w:rsidRDefault="006005D9" w:rsidP="006005D9">
      <w:pPr>
        <w:pStyle w:val="ListParagraph"/>
        <w:numPr>
          <w:ilvl w:val="0"/>
          <w:numId w:val="3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Audit account actions (creation, modification, disabling, removal) and notify IT personnel through automated alerts.</w:t>
      </w:r>
    </w:p>
    <w:p w14:paraId="541E5CBF" w14:textId="77777777" w:rsidR="006005D9" w:rsidRPr="006005D9" w:rsidRDefault="006005D9" w:rsidP="006005D9">
      <w:pPr>
        <w:rPr>
          <w:rFonts w:cs="Calibri"/>
          <w:color w:val="000000"/>
        </w:rPr>
      </w:pPr>
    </w:p>
    <w:p w14:paraId="18B9B946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2. Access Enforcement</w:t>
      </w:r>
    </w:p>
    <w:p w14:paraId="3FF72FD4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per NIST SP 800-53 (AC-3):</w:t>
      </w:r>
    </w:p>
    <w:p w14:paraId="3645C59F" w14:textId="77777777" w:rsidR="006005D9" w:rsidRDefault="006005D9" w:rsidP="006005D9">
      <w:pPr>
        <w:rPr>
          <w:rFonts w:cs="Calibri"/>
          <w:color w:val="000000"/>
        </w:rPr>
      </w:pPr>
    </w:p>
    <w:p w14:paraId="1C097F23" w14:textId="25486767" w:rsidR="006005D9" w:rsidRPr="006005D9" w:rsidRDefault="006005D9" w:rsidP="006005D9">
      <w:pPr>
        <w:pStyle w:val="ListParagraph"/>
        <w:numPr>
          <w:ilvl w:val="0"/>
          <w:numId w:val="4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Enforce approved authorisations for logical access using role-based access control (RBAC) or attribute-based access control (ABAC), as defined in the [Entity] RBAC Policy.</w:t>
      </w:r>
    </w:p>
    <w:p w14:paraId="28056E39" w14:textId="6D70D0DC" w:rsidR="006005D9" w:rsidRPr="006005D9" w:rsidRDefault="006005D9" w:rsidP="006005D9">
      <w:pPr>
        <w:pStyle w:val="ListParagraph"/>
        <w:numPr>
          <w:ilvl w:val="0"/>
          <w:numId w:val="4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Implement access controls via authentication mechanisms compliant with NIST SP 800-63B (e.g., MFA for sensitive systems).</w:t>
      </w:r>
    </w:p>
    <w:p w14:paraId="5F95A7A3" w14:textId="77777777" w:rsidR="006005D9" w:rsidRPr="006005D9" w:rsidRDefault="006005D9" w:rsidP="006005D9">
      <w:pPr>
        <w:rPr>
          <w:rFonts w:cs="Calibri"/>
          <w:color w:val="000000"/>
        </w:rPr>
      </w:pPr>
    </w:p>
    <w:p w14:paraId="73625898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3. Information Flow Enforcement</w:t>
      </w:r>
    </w:p>
    <w:p w14:paraId="008ECBF4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per NIST SP 800-53 (AC-4):</w:t>
      </w:r>
    </w:p>
    <w:p w14:paraId="19227D2D" w14:textId="77777777" w:rsidR="006005D9" w:rsidRDefault="006005D9" w:rsidP="006005D9">
      <w:pPr>
        <w:rPr>
          <w:rFonts w:cs="Calibri"/>
          <w:color w:val="000000"/>
        </w:rPr>
      </w:pPr>
    </w:p>
    <w:p w14:paraId="1EEDC1E5" w14:textId="49DE1CA2" w:rsidR="006005D9" w:rsidRPr="006005D9" w:rsidRDefault="006005D9" w:rsidP="006005D9">
      <w:pPr>
        <w:pStyle w:val="ListParagraph"/>
        <w:numPr>
          <w:ilvl w:val="0"/>
          <w:numId w:val="5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Enforce information flow controls within and between systems using data loss prevention (DLP) tools, network segmentation, and firewalls, </w:t>
      </w:r>
      <w:r>
        <w:rPr>
          <w:rFonts w:cs="Calibri"/>
          <w:color w:val="000000"/>
        </w:rPr>
        <w:t>as outlined in</w:t>
      </w:r>
      <w:r w:rsidRPr="006005D9">
        <w:rPr>
          <w:rFonts w:cs="Calibri"/>
          <w:color w:val="000000"/>
        </w:rPr>
        <w:t xml:space="preserve"> the [Entity] Network Security Policy.</w:t>
      </w:r>
    </w:p>
    <w:p w14:paraId="1C2571EC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2343FA4" w14:textId="0132FD20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4. Separation of Duties</w:t>
      </w:r>
    </w:p>
    <w:p w14:paraId="08416256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in accordance with NIST SP 800-53 (AC-5):</w:t>
      </w:r>
    </w:p>
    <w:p w14:paraId="3DDE08C2" w14:textId="77777777" w:rsidR="006005D9" w:rsidRDefault="006005D9" w:rsidP="006005D9">
      <w:pPr>
        <w:rPr>
          <w:rFonts w:cs="Calibri"/>
          <w:color w:val="000000"/>
        </w:rPr>
      </w:pPr>
    </w:p>
    <w:p w14:paraId="6806B79F" w14:textId="77777777" w:rsidR="006005D9" w:rsidRDefault="006005D9" w:rsidP="006005D9">
      <w:pPr>
        <w:pStyle w:val="ListParagraph"/>
        <w:numPr>
          <w:ilvl w:val="0"/>
          <w:numId w:val="5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Separate duties to prevent malicious activity without collusion (e.g., dividing system administration and audit roles).</w:t>
      </w:r>
    </w:p>
    <w:p w14:paraId="67DAD439" w14:textId="77777777" w:rsidR="006005D9" w:rsidRDefault="006005D9" w:rsidP="006005D9">
      <w:pPr>
        <w:pStyle w:val="ListParagraph"/>
        <w:numPr>
          <w:ilvl w:val="0"/>
          <w:numId w:val="5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Record separation of duties in the [Entity] RBAC Policy, reviewed annually.</w:t>
      </w:r>
    </w:p>
    <w:p w14:paraId="497A3B10" w14:textId="5021EC1F" w:rsidR="006005D9" w:rsidRDefault="006005D9" w:rsidP="006005D9">
      <w:pPr>
        <w:pStyle w:val="ListParagraph"/>
        <w:numPr>
          <w:ilvl w:val="0"/>
          <w:numId w:val="5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Establish access authorisations to support </w:t>
      </w:r>
      <w:r>
        <w:rPr>
          <w:rFonts w:cs="Calibri"/>
          <w:color w:val="000000"/>
        </w:rPr>
        <w:t xml:space="preserve">the </w:t>
      </w:r>
      <w:r w:rsidRPr="006005D9">
        <w:rPr>
          <w:rFonts w:cs="Calibri"/>
          <w:color w:val="000000"/>
        </w:rPr>
        <w:t>separation of duties.</w:t>
      </w:r>
    </w:p>
    <w:p w14:paraId="164EC1A6" w14:textId="77777777" w:rsidR="006005D9" w:rsidRPr="006005D9" w:rsidRDefault="006005D9" w:rsidP="006005D9">
      <w:pPr>
        <w:pStyle w:val="ListParagraph"/>
        <w:rPr>
          <w:rFonts w:cs="Calibri"/>
          <w:color w:val="000000"/>
        </w:rPr>
      </w:pPr>
    </w:p>
    <w:p w14:paraId="7138AF66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5. Least Privilege</w:t>
      </w:r>
    </w:p>
    <w:p w14:paraId="36F50C4A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per NIST SP 800-53 (AC-6):</w:t>
      </w:r>
    </w:p>
    <w:p w14:paraId="01AD0AA5" w14:textId="77777777" w:rsidR="006005D9" w:rsidRDefault="006005D9" w:rsidP="006005D9">
      <w:pPr>
        <w:rPr>
          <w:rFonts w:cs="Calibri"/>
          <w:color w:val="000000"/>
        </w:rPr>
      </w:pPr>
    </w:p>
    <w:p w14:paraId="32BEFA00" w14:textId="18E55CBB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Apply </w:t>
      </w:r>
      <w:r>
        <w:rPr>
          <w:rFonts w:cs="Calibri"/>
          <w:color w:val="000000"/>
        </w:rPr>
        <w:t xml:space="preserve">the principle of </w:t>
      </w:r>
      <w:r w:rsidRPr="006005D9">
        <w:rPr>
          <w:rFonts w:cs="Calibri"/>
          <w:color w:val="000000"/>
        </w:rPr>
        <w:t>least privilege by granting only the necessary access for assigned tasks.</w:t>
      </w:r>
    </w:p>
    <w:p w14:paraId="25495E50" w14:textId="77777777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Explicitly authorise access to hardware and software controls, including routers, firewalls, cryptographic keys, and access control lists.</w:t>
      </w:r>
    </w:p>
    <w:p w14:paraId="3332EAC3" w14:textId="77777777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Require users with privileged access to utilise non-privileged accounts for non-security functions.</w:t>
      </w:r>
    </w:p>
    <w:p w14:paraId="575E1073" w14:textId="77777777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Restrict privileged accounts to designated IT personnel, with reviews conducted quarterly (AC-6(2)).</w:t>
      </w:r>
    </w:p>
    <w:p w14:paraId="3089C3C4" w14:textId="77777777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Audit privileged function execution through automated logs.</w:t>
      </w:r>
    </w:p>
    <w:p w14:paraId="26ADCD0C" w14:textId="7BACD58F" w:rsidR="006005D9" w:rsidRDefault="006005D9" w:rsidP="006005D9">
      <w:pPr>
        <w:pStyle w:val="ListParagraph"/>
        <w:numPr>
          <w:ilvl w:val="0"/>
          <w:numId w:val="6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lastRenderedPageBreak/>
        <w:t>Prevent non-privileged users from executing privileged functions using access controls.</w:t>
      </w:r>
    </w:p>
    <w:p w14:paraId="0744FDFD" w14:textId="77777777" w:rsidR="006005D9" w:rsidRPr="006005D9" w:rsidRDefault="006005D9" w:rsidP="006005D9">
      <w:pPr>
        <w:pStyle w:val="ListParagraph"/>
        <w:rPr>
          <w:rFonts w:cs="Calibri"/>
          <w:color w:val="000000"/>
        </w:rPr>
      </w:pPr>
    </w:p>
    <w:p w14:paraId="74A01BE6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6. Unsuccessful Logon Attempts</w:t>
      </w:r>
    </w:p>
    <w:p w14:paraId="75302040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 ensure systems, per NIST SP 800-53 (AC-7):</w:t>
      </w:r>
    </w:p>
    <w:p w14:paraId="1A4540D7" w14:textId="74E05511" w:rsidR="006005D9" w:rsidRDefault="006005D9" w:rsidP="006005D9">
      <w:pPr>
        <w:pStyle w:val="ListParagraph"/>
        <w:numPr>
          <w:ilvl w:val="0"/>
          <w:numId w:val="7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Limit consecutive invalid logon attempts to 5 within </w:t>
      </w:r>
      <w:r>
        <w:rPr>
          <w:rFonts w:cs="Calibri"/>
          <w:color w:val="000000"/>
        </w:rPr>
        <w:t>a</w:t>
      </w:r>
      <w:r w:rsidRPr="006005D9">
        <w:rPr>
          <w:rFonts w:cs="Calibri"/>
          <w:color w:val="000000"/>
        </w:rPr>
        <w:t xml:space="preserve"> </w:t>
      </w:r>
      <w:r>
        <w:rPr>
          <w:rFonts w:cs="Calibri"/>
          <w:color w:val="000000"/>
        </w:rPr>
        <w:t>15-minute period</w:t>
      </w:r>
      <w:r w:rsidRPr="006005D9">
        <w:rPr>
          <w:rFonts w:cs="Calibri"/>
          <w:color w:val="000000"/>
        </w:rPr>
        <w:t>.</w:t>
      </w:r>
    </w:p>
    <w:p w14:paraId="14EC4DE0" w14:textId="77777777" w:rsidR="006005D9" w:rsidRDefault="006005D9" w:rsidP="006005D9">
      <w:pPr>
        <w:pStyle w:val="ListParagraph"/>
        <w:numPr>
          <w:ilvl w:val="0"/>
          <w:numId w:val="7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Lock accounts for 30 minutes or until the administrator releases </w:t>
      </w:r>
      <w:r>
        <w:rPr>
          <w:rFonts w:cs="Calibri"/>
          <w:color w:val="000000"/>
        </w:rPr>
        <w:t xml:space="preserve">them </w:t>
      </w:r>
      <w:r w:rsidRPr="006005D9">
        <w:rPr>
          <w:rFonts w:cs="Calibri"/>
          <w:color w:val="000000"/>
        </w:rPr>
        <w:t xml:space="preserve">after </w:t>
      </w:r>
      <w:r>
        <w:rPr>
          <w:rFonts w:cs="Calibri"/>
          <w:color w:val="000000"/>
        </w:rPr>
        <w:t>a specified number of</w:t>
      </w:r>
      <w:r w:rsidRPr="006005D9">
        <w:rPr>
          <w:rFonts w:cs="Calibri"/>
          <w:color w:val="000000"/>
        </w:rPr>
        <w:t xml:space="preserve"> attempts.</w:t>
      </w:r>
    </w:p>
    <w:p w14:paraId="3D5B3EE4" w14:textId="62773FE2" w:rsidR="006005D9" w:rsidRDefault="006005D9" w:rsidP="006005D9">
      <w:pPr>
        <w:pStyle w:val="ListParagraph"/>
        <w:numPr>
          <w:ilvl w:val="0"/>
          <w:numId w:val="7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Implement adaptive authentication (e.g., CAPTCHA) to mitigate brute-force attacks, </w:t>
      </w:r>
      <w:r>
        <w:rPr>
          <w:rFonts w:cs="Calibri"/>
          <w:color w:val="000000"/>
        </w:rPr>
        <w:t>as recommended by</w:t>
      </w:r>
      <w:r w:rsidRPr="006005D9">
        <w:rPr>
          <w:rFonts w:cs="Calibri"/>
          <w:color w:val="000000"/>
        </w:rPr>
        <w:t xml:space="preserve"> NIST SP 800-63B.</w:t>
      </w:r>
    </w:p>
    <w:p w14:paraId="48735350" w14:textId="77777777" w:rsidR="006005D9" w:rsidRPr="006005D9" w:rsidRDefault="006005D9" w:rsidP="006005D9">
      <w:pPr>
        <w:pStyle w:val="ListParagraph"/>
        <w:rPr>
          <w:rFonts w:cs="Calibri"/>
          <w:color w:val="000000"/>
        </w:rPr>
      </w:pPr>
    </w:p>
    <w:p w14:paraId="70887FBA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7. System Use Notification</w:t>
      </w:r>
    </w:p>
    <w:p w14:paraId="52914DB6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 ensure systems, per NIST SP 800-53 (AC-8):</w:t>
      </w:r>
      <w:r w:rsidRPr="006005D9">
        <w:rPr>
          <w:rFonts w:cs="Calibri"/>
          <w:color w:val="000000"/>
        </w:rPr>
        <w:br/>
      </w:r>
    </w:p>
    <w:p w14:paraId="3F98E6AD" w14:textId="49513CAB" w:rsidR="006005D9" w:rsidRPr="006005D9" w:rsidRDefault="006005D9" w:rsidP="006005D9">
      <w:pPr>
        <w:pStyle w:val="ListParagraph"/>
        <w:numPr>
          <w:ilvl w:val="0"/>
          <w:numId w:val="10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Display a warning banner before access, stating:</w:t>
      </w:r>
    </w:p>
    <w:p w14:paraId="15F4C24B" w14:textId="77777777" w:rsidR="006005D9" w:rsidRPr="006005D9" w:rsidRDefault="006005D9" w:rsidP="006005D9">
      <w:pPr>
        <w:rPr>
          <w:rFonts w:cs="Calibri"/>
          <w:color w:val="000000"/>
        </w:rPr>
      </w:pPr>
    </w:p>
    <w:p w14:paraId="67D64819" w14:textId="77777777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Users are accessing [Entity]'s information system.</w:t>
      </w:r>
    </w:p>
    <w:p w14:paraId="2298CB57" w14:textId="77777777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Usage is monitored, recorded, and subject to audit.</w:t>
      </w:r>
    </w:p>
    <w:p w14:paraId="5ABD7D6E" w14:textId="549A0238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Unauthori</w:t>
      </w:r>
      <w:r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ed use is prohibited and subject to penalties.</w:t>
      </w:r>
    </w:p>
    <w:p w14:paraId="3281C0F9" w14:textId="77777777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Use indicates consent to monitoring.</w:t>
      </w:r>
    </w:p>
    <w:p w14:paraId="36D4EC65" w14:textId="39507EA2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No privacy rights exist, except as recogni</w:t>
      </w:r>
      <w:r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ed by law.</w:t>
      </w:r>
      <w:r w:rsidRPr="006005D9">
        <w:rPr>
          <w:rFonts w:cs="Calibri"/>
          <w:color w:val="000000"/>
        </w:rPr>
        <w:br/>
        <w:t>b. Retain the banner until users acknowledge and proceed.</w:t>
      </w:r>
      <w:r w:rsidRPr="006005D9">
        <w:rPr>
          <w:rFonts w:cs="Calibri"/>
          <w:color w:val="000000"/>
        </w:rPr>
        <w:br/>
        <w:t>c. For publicly accessible systems:</w:t>
      </w:r>
    </w:p>
    <w:p w14:paraId="217DB3AA" w14:textId="676C5F30" w:rsidR="006005D9" w:rsidRP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Display usage conditions and authori</w:t>
      </w:r>
      <w:r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ed uses.</w:t>
      </w:r>
    </w:p>
    <w:p w14:paraId="6E62337B" w14:textId="77777777" w:rsidR="006005D9" w:rsidRDefault="006005D9" w:rsidP="006005D9">
      <w:pPr>
        <w:numPr>
          <w:ilvl w:val="0"/>
          <w:numId w:val="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Ensure privacy-compliant monitoring references.</w:t>
      </w:r>
    </w:p>
    <w:p w14:paraId="2F2329E8" w14:textId="77777777" w:rsidR="006005D9" w:rsidRPr="006005D9" w:rsidRDefault="006005D9" w:rsidP="006005D9">
      <w:pPr>
        <w:ind w:left="720"/>
        <w:rPr>
          <w:rFonts w:cs="Calibri"/>
          <w:color w:val="000000"/>
        </w:rPr>
      </w:pPr>
    </w:p>
    <w:p w14:paraId="485DF4C3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8. Session Lock</w:t>
      </w:r>
    </w:p>
    <w:p w14:paraId="447F9869" w14:textId="77777777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 ensure systems, per NIST SP 800-53 (AC-11):</w:t>
      </w:r>
      <w:r w:rsidRPr="006005D9">
        <w:rPr>
          <w:rFonts w:cs="Calibri"/>
          <w:color w:val="000000"/>
        </w:rPr>
        <w:br/>
      </w:r>
    </w:p>
    <w:p w14:paraId="373BFD62" w14:textId="77777777" w:rsidR="006005D9" w:rsidRDefault="006005D9" w:rsidP="006005D9">
      <w:pPr>
        <w:pStyle w:val="ListParagraph"/>
        <w:numPr>
          <w:ilvl w:val="0"/>
          <w:numId w:val="10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Initiate session locks after 15 minutes of inactivity or user request.</w:t>
      </w:r>
    </w:p>
    <w:p w14:paraId="1D2C024B" w14:textId="77777777" w:rsidR="006005D9" w:rsidRDefault="006005D9" w:rsidP="006005D9">
      <w:pPr>
        <w:pStyle w:val="ListParagraph"/>
        <w:numPr>
          <w:ilvl w:val="0"/>
          <w:numId w:val="10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Require re-authentication to unlock, per NIST SP 800-63B.</w:t>
      </w:r>
    </w:p>
    <w:p w14:paraId="5783B913" w14:textId="63CF2785" w:rsidR="006005D9" w:rsidRPr="006005D9" w:rsidRDefault="006005D9" w:rsidP="006005D9">
      <w:pPr>
        <w:pStyle w:val="ListParagraph"/>
        <w:numPr>
          <w:ilvl w:val="0"/>
          <w:numId w:val="10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Conceal screen content</w:t>
      </w:r>
    </w:p>
    <w:p w14:paraId="40ADA764" w14:textId="77777777" w:rsidR="002D2A9F" w:rsidRDefault="002D2A9F" w:rsidP="006005D9">
      <w:pPr>
        <w:rPr>
          <w:rFonts w:cs="Calibri"/>
        </w:rPr>
      </w:pPr>
    </w:p>
    <w:p w14:paraId="05B84057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9. Session Termination</w:t>
      </w:r>
    </w:p>
    <w:p w14:paraId="088901B1" w14:textId="643BE109" w:rsid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The IT Department shall ensure systems, </w:t>
      </w:r>
      <w:r>
        <w:rPr>
          <w:rFonts w:cs="Calibri"/>
          <w:color w:val="000000"/>
        </w:rPr>
        <w:t xml:space="preserve">as </w:t>
      </w:r>
      <w:r w:rsidRPr="006005D9">
        <w:rPr>
          <w:rFonts w:cs="Calibri"/>
          <w:color w:val="000000"/>
        </w:rPr>
        <w:t>per NIST SP 800-53 (AC-12): a. Terminate sessions after 30 minutes of inactivity or upon detection of suspicious activity (e.g., anomalous behavio</w:t>
      </w:r>
      <w:r>
        <w:rPr>
          <w:rFonts w:cs="Calibri"/>
          <w:color w:val="000000"/>
        </w:rPr>
        <w:t>u</w:t>
      </w:r>
      <w:r w:rsidRPr="006005D9">
        <w:rPr>
          <w:rFonts w:cs="Calibri"/>
          <w:color w:val="000000"/>
        </w:rPr>
        <w:t>r).</w:t>
      </w:r>
    </w:p>
    <w:p w14:paraId="41CCE4A2" w14:textId="77777777" w:rsidR="006005D9" w:rsidRPr="006005D9" w:rsidRDefault="006005D9" w:rsidP="006005D9">
      <w:pPr>
        <w:rPr>
          <w:rFonts w:cs="Calibri"/>
          <w:color w:val="000000"/>
        </w:rPr>
      </w:pPr>
    </w:p>
    <w:p w14:paraId="0B12A85A" w14:textId="7777777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10. Concurrent Session Control</w:t>
      </w:r>
    </w:p>
    <w:p w14:paraId="65D133A3" w14:textId="4618C038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The IT Department shall, </w:t>
      </w:r>
      <w:r>
        <w:rPr>
          <w:rFonts w:cs="Calibri"/>
          <w:color w:val="000000"/>
        </w:rPr>
        <w:t>in accordance with</w:t>
      </w:r>
      <w:r w:rsidRPr="006005D9">
        <w:rPr>
          <w:rFonts w:cs="Calibri"/>
          <w:color w:val="000000"/>
        </w:rPr>
        <w:t xml:space="preserve"> NIST SP 800-53 (AC-10): a. Limit concurrent sessions to 2 per user for sensitive systems, configurable </w:t>
      </w:r>
      <w:r>
        <w:rPr>
          <w:rFonts w:cs="Calibri"/>
          <w:color w:val="000000"/>
        </w:rPr>
        <w:t>according to</w:t>
      </w:r>
      <w:r w:rsidRPr="006005D9">
        <w:rPr>
          <w:rFonts w:cs="Calibri"/>
          <w:color w:val="000000"/>
        </w:rPr>
        <w:t xml:space="preserve"> the [Entity] Configuration Management Policy.</w:t>
      </w:r>
    </w:p>
    <w:p w14:paraId="291CB804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C1BEB59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6A357BC0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4D0498E1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5B6D97B" w14:textId="3E930467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lastRenderedPageBreak/>
        <w:t>11. Permitted Actions Without Identification or Authentication</w:t>
      </w:r>
    </w:p>
    <w:p w14:paraId="72C21D12" w14:textId="5226BEE5" w:rsidR="006005D9" w:rsidRPr="006005D9" w:rsidRDefault="006005D9" w:rsidP="006005D9">
      <w:pPr>
        <w:rPr>
          <w:rFonts w:cs="Calibri"/>
          <w:color w:val="000000"/>
        </w:rPr>
      </w:pPr>
      <w:r>
        <w:rPr>
          <w:rFonts w:cs="Calibri"/>
          <w:color w:val="000000"/>
        </w:rPr>
        <w:t>The IT Department shall, in accordance with NIST SP 800-53 (AC-14): a. identify actions that do not require authentication (e.g., access to a public website). b. document the rationale in the [Entity] Security Plan.</w:t>
      </w:r>
    </w:p>
    <w:p w14:paraId="2CF093CE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BE23021" w14:textId="06F981AE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12. Remote Access</w:t>
      </w:r>
    </w:p>
    <w:p w14:paraId="4F5D2DBD" w14:textId="693EF514" w:rsidR="006005D9" w:rsidRPr="006005D9" w:rsidRDefault="006005D9" w:rsidP="006005D9">
      <w:pPr>
        <w:rPr>
          <w:rFonts w:cs="Calibri"/>
          <w:color w:val="000000"/>
        </w:rPr>
      </w:pPr>
      <w:r>
        <w:rPr>
          <w:rFonts w:cs="Calibri"/>
          <w:color w:val="000000"/>
        </w:rPr>
        <w:t>The IT Department shall, in accordance with NIST SP 800-53 (AC-17) and SP 800-77: a. Define usage restrictions and configuration requirements in the [Entity] Remote Access Policy. b. Approve remote access before connection. c. Oversee and regulate remote access through VPNs using FIPS 140-3 validated cryptography. d. Direct remote access through managed network access points. e. Limit privileged commands via remote access to designated needs, documented in the [Entity] Security Plan.</w:t>
      </w:r>
    </w:p>
    <w:p w14:paraId="0A72C13A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44B09E00" w14:textId="5895EB5A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13. Wireless Access</w:t>
      </w:r>
    </w:p>
    <w:p w14:paraId="46AA46E2" w14:textId="26AABFFB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The IT Department shall, </w:t>
      </w:r>
      <w:r>
        <w:rPr>
          <w:rFonts w:cs="Calibri"/>
          <w:color w:val="000000"/>
        </w:rPr>
        <w:t>according to</w:t>
      </w:r>
      <w:r w:rsidRPr="006005D9">
        <w:rPr>
          <w:rFonts w:cs="Calibri"/>
          <w:color w:val="000000"/>
        </w:rPr>
        <w:t xml:space="preserve"> NIST SP 800-53 (AC-18) and SP 800-97: a. Establish usage restrictions and configuration requirements in the [Entity] Wireless Access Policy. b. Authori</w:t>
      </w:r>
      <w:r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 wireless access prior to connection. c. Protect wireless access with user/device authentication and FIPS 140-3 validated encryption.</w:t>
      </w:r>
    </w:p>
    <w:p w14:paraId="64A47AEC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0D6E20A0" w14:textId="7F93D021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14. Access Control for Mobile Devices</w:t>
      </w:r>
    </w:p>
    <w:p w14:paraId="54E64967" w14:textId="47E8508F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The IT Department shall, per NIST SP 800-53 (AC-19) and SP 800-124: a. Establish usage and configuration requirements in the [Entity] Mobile Device Policy. b. Authori</w:t>
      </w:r>
      <w:r w:rsidR="00B976E4"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 mobile device connections. c. Employ full-device or container encryption (FIPS 140-3 validated) and remote wipe capabilities.</w:t>
      </w:r>
    </w:p>
    <w:p w14:paraId="1DFDD2F4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219AE5DD" w14:textId="150C9005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15. Use of External Information Systems</w:t>
      </w:r>
    </w:p>
    <w:p w14:paraId="4E7102E9" w14:textId="7CE55AAC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The IT Department shall, </w:t>
      </w:r>
      <w:r w:rsidR="00B976E4">
        <w:rPr>
          <w:rFonts w:cs="Calibri"/>
          <w:color w:val="000000"/>
        </w:rPr>
        <w:t>in accordance with</w:t>
      </w:r>
      <w:r w:rsidRPr="006005D9">
        <w:rPr>
          <w:rFonts w:cs="Calibri"/>
          <w:color w:val="000000"/>
        </w:rPr>
        <w:t xml:space="preserve"> NIST SP 800-53 (AC-20): a. Establish terms for external system access, verified </w:t>
      </w:r>
      <w:r w:rsidR="00B976E4">
        <w:rPr>
          <w:rFonts w:cs="Calibri"/>
          <w:color w:val="000000"/>
        </w:rPr>
        <w:t>through</w:t>
      </w:r>
      <w:r w:rsidRPr="006005D9">
        <w:rPr>
          <w:rFonts w:cs="Calibri"/>
          <w:color w:val="000000"/>
        </w:rPr>
        <w:t xml:space="preserve"> security assessments (e.g., SOC 2 reports). b. </w:t>
      </w:r>
      <w:r w:rsidR="00B976E4">
        <w:rPr>
          <w:rFonts w:cs="Calibri"/>
          <w:color w:val="000000"/>
        </w:rPr>
        <w:t>Allow</w:t>
      </w:r>
      <w:r w:rsidRPr="006005D9">
        <w:rPr>
          <w:rFonts w:cs="Calibri"/>
          <w:color w:val="000000"/>
        </w:rPr>
        <w:t xml:space="preserve"> external system use only with approved connection agreements.</w:t>
      </w:r>
    </w:p>
    <w:p w14:paraId="6EB2B4E8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60898440" w14:textId="2D92AAE4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16. Information Sharing</w:t>
      </w:r>
    </w:p>
    <w:p w14:paraId="16A382C3" w14:textId="1AEAAB11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The IT Department shall, </w:t>
      </w:r>
      <w:r w:rsidR="00B976E4">
        <w:rPr>
          <w:rFonts w:cs="Calibri"/>
          <w:color w:val="000000"/>
        </w:rPr>
        <w:t>in accordance with</w:t>
      </w:r>
      <w:r w:rsidRPr="006005D9">
        <w:rPr>
          <w:rFonts w:cs="Calibri"/>
          <w:color w:val="000000"/>
        </w:rPr>
        <w:t xml:space="preserve"> NIST SP 800-53 (AC-21): a. Enable authori</w:t>
      </w:r>
      <w:r w:rsidR="00B976E4">
        <w:rPr>
          <w:rFonts w:cs="Calibri"/>
          <w:color w:val="000000"/>
        </w:rPr>
        <w:t>s</w:t>
      </w:r>
      <w:r w:rsidRPr="006005D9">
        <w:rPr>
          <w:rFonts w:cs="Calibri"/>
          <w:color w:val="000000"/>
        </w:rPr>
        <w:t>ed users to verify sharing partner access restrictions. b. Use automated tools or manual processes to support sharing decisions.</w:t>
      </w:r>
    </w:p>
    <w:p w14:paraId="3643C020" w14:textId="77777777" w:rsid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</w:p>
    <w:p w14:paraId="19DC41D1" w14:textId="58D31E71" w:rsidR="006005D9" w:rsidRPr="006005D9" w:rsidRDefault="006005D9" w:rsidP="006005D9">
      <w:pPr>
        <w:outlineLvl w:val="2"/>
        <w:rPr>
          <w:rFonts w:cs="Calibri"/>
          <w:b/>
          <w:bCs/>
          <w:color w:val="000000"/>
          <w:sz w:val="27"/>
          <w:szCs w:val="27"/>
        </w:rPr>
      </w:pPr>
      <w:r w:rsidRPr="006005D9">
        <w:rPr>
          <w:rFonts w:cs="Calibri"/>
          <w:b/>
          <w:bCs/>
          <w:color w:val="000000"/>
          <w:sz w:val="27"/>
          <w:szCs w:val="27"/>
        </w:rPr>
        <w:t>17. Publicly Accessible Content</w:t>
      </w:r>
    </w:p>
    <w:p w14:paraId="10613F64" w14:textId="77777777" w:rsidR="00B976E4" w:rsidRDefault="00B976E4" w:rsidP="006005D9">
      <w:pPr>
        <w:rPr>
          <w:rFonts w:cs="Calibri"/>
          <w:color w:val="000000"/>
        </w:rPr>
      </w:pPr>
      <w:r>
        <w:rPr>
          <w:rFonts w:cs="Calibri"/>
          <w:color w:val="000000"/>
        </w:rPr>
        <w:t xml:space="preserve">The IT Department shall, in accordance with NIST SP 800-53 (AC-22): </w:t>
      </w:r>
    </w:p>
    <w:p w14:paraId="3C1F9755" w14:textId="77777777" w:rsidR="00B976E4" w:rsidRDefault="00B976E4" w:rsidP="006005D9">
      <w:pPr>
        <w:rPr>
          <w:rFonts w:cs="Calibri"/>
          <w:color w:val="000000"/>
        </w:rPr>
      </w:pPr>
    </w:p>
    <w:p w14:paraId="2132B22F" w14:textId="77777777" w:rsidR="00B976E4" w:rsidRDefault="00B976E4" w:rsidP="00B976E4">
      <w:pPr>
        <w:pStyle w:val="ListParagraph"/>
        <w:numPr>
          <w:ilvl w:val="0"/>
          <w:numId w:val="14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 xml:space="preserve">Designate authorised individuals for public postings. </w:t>
      </w:r>
    </w:p>
    <w:p w14:paraId="2E7D91ED" w14:textId="77777777" w:rsidR="00B976E4" w:rsidRDefault="00B976E4" w:rsidP="00B976E4">
      <w:pPr>
        <w:pStyle w:val="ListParagraph"/>
        <w:numPr>
          <w:ilvl w:val="0"/>
          <w:numId w:val="14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 xml:space="preserve">Train individuals to exclude non-public information (e.g., CUI, PII). </w:t>
      </w:r>
    </w:p>
    <w:p w14:paraId="31D5B3A3" w14:textId="123FA3DA" w:rsidR="006005D9" w:rsidRPr="00B976E4" w:rsidRDefault="00B976E4" w:rsidP="00B976E4">
      <w:pPr>
        <w:pStyle w:val="ListParagraph"/>
        <w:numPr>
          <w:ilvl w:val="0"/>
          <w:numId w:val="14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Review content before and quarterly after posting to remove non-public information.</w:t>
      </w:r>
    </w:p>
    <w:p w14:paraId="6C7654BD" w14:textId="77777777" w:rsid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B825E64" w14:textId="77777777" w:rsidR="00B976E4" w:rsidRDefault="00B976E4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E593D58" w14:textId="602E54C1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lastRenderedPageBreak/>
        <w:t>Compliance</w:t>
      </w:r>
    </w:p>
    <w:p w14:paraId="70933D98" w14:textId="6998DE88" w:rsidR="006005D9" w:rsidRPr="006005D9" w:rsidRDefault="00B976E4" w:rsidP="006005D9">
      <w:pPr>
        <w:rPr>
          <w:rFonts w:cs="Calibri"/>
          <w:color w:val="000000"/>
        </w:rPr>
      </w:pPr>
      <w:r>
        <w:rPr>
          <w:rFonts w:cs="Calibri"/>
          <w:color w:val="000000"/>
        </w:rPr>
        <w:t>Non-compliance may lead to disciplinary measures, including dismissal, denial of access, or civil/criminal penalties. Contractors may face termination of agreements. Compliance is overseen through audits and metrics (e.g., unauthorised access attempts, audit frequency), in accordance with NIST SP 800-55 Revision 2.</w:t>
      </w:r>
    </w:p>
    <w:p w14:paraId="7C29A3AB" w14:textId="77777777" w:rsidR="00B976E4" w:rsidRDefault="00B976E4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5BAEEE52" w14:textId="236BDDD3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Policy Exceptions</w:t>
      </w:r>
    </w:p>
    <w:p w14:paraId="60F9B49A" w14:textId="65ECF6C8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Exceptions require approval from the Chief Information Security Officer (CISO) and Chief Information Officer (CIO). Requests must include scope, justification, risk assessment, mitigation measures, and a compliance time</w:t>
      </w:r>
      <w:r w:rsidR="00B976E4">
        <w:rPr>
          <w:rFonts w:cs="Calibri"/>
          <w:color w:val="000000"/>
        </w:rPr>
        <w:t>tabl</w:t>
      </w:r>
      <w:r w:rsidRPr="006005D9">
        <w:rPr>
          <w:rFonts w:cs="Calibri"/>
          <w:color w:val="000000"/>
        </w:rPr>
        <w:t>e.</w:t>
      </w:r>
    </w:p>
    <w:p w14:paraId="4BF551B5" w14:textId="77777777" w:rsid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06F447FB" w14:textId="2A652974" w:rsidR="00B976E4" w:rsidRPr="00700CAA" w:rsidRDefault="00B976E4" w:rsidP="00B976E4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700CAA">
        <w:rPr>
          <w:rFonts w:cs="Calibri"/>
          <w:b/>
          <w:bCs/>
          <w:color w:val="000000"/>
          <w:sz w:val="36"/>
          <w:szCs w:val="36"/>
        </w:rPr>
        <w:t>Revision History</w:t>
      </w:r>
    </w:p>
    <w:p w14:paraId="647A210D" w14:textId="77777777" w:rsidR="00B976E4" w:rsidRDefault="00B976E4" w:rsidP="00B976E4">
      <w:pPr>
        <w:rPr>
          <w:rFonts w:cs="Calibri"/>
          <w:color w:val="000000"/>
        </w:rPr>
      </w:pPr>
      <w:r w:rsidRPr="00700CAA">
        <w:rPr>
          <w:rFonts w:cs="Calibri"/>
          <w:color w:val="000000"/>
        </w:rPr>
        <w:t>This policy is reviewed annually or as needed to address emerging threats and NIST updates. </w:t>
      </w:r>
    </w:p>
    <w:p w14:paraId="3C52EAC1" w14:textId="77777777" w:rsidR="00B976E4" w:rsidRPr="00700CAA" w:rsidRDefault="00B976E4" w:rsidP="00B976E4">
      <w:pPr>
        <w:rPr>
          <w:rFonts w:cs="Calibri"/>
          <w:color w:val="000000"/>
        </w:rPr>
      </w:pPr>
    </w:p>
    <w:tbl>
      <w:tblPr>
        <w:tblW w:w="963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4"/>
        <w:gridCol w:w="5687"/>
        <w:gridCol w:w="2693"/>
      </w:tblGrid>
      <w:tr w:rsidR="00B976E4" w:rsidRPr="00700CAA" w14:paraId="21587DBA" w14:textId="77777777" w:rsidTr="006B0EC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04D1B1" w14:textId="77777777" w:rsidR="00B976E4" w:rsidRPr="00700CAA" w:rsidRDefault="00B976E4" w:rsidP="00B976E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00CAA">
              <w:rPr>
                <w:rFonts w:cs="Calibri"/>
                <w:b/>
                <w:bCs/>
                <w:color w:val="000000"/>
              </w:rPr>
              <w:t>Date</w:t>
            </w:r>
          </w:p>
        </w:tc>
        <w:tc>
          <w:tcPr>
            <w:tcW w:w="5657" w:type="dxa"/>
            <w:vAlign w:val="center"/>
            <w:hideMark/>
          </w:tcPr>
          <w:p w14:paraId="57ED5C80" w14:textId="77777777" w:rsidR="00B976E4" w:rsidRPr="00700CAA" w:rsidRDefault="00B976E4" w:rsidP="00B976E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00CAA">
              <w:rPr>
                <w:rFonts w:cs="Calibri"/>
                <w:b/>
                <w:bCs/>
                <w:color w:val="000000"/>
              </w:rPr>
              <w:t>Description of Change</w:t>
            </w:r>
          </w:p>
        </w:tc>
        <w:tc>
          <w:tcPr>
            <w:tcW w:w="2648" w:type="dxa"/>
            <w:vAlign w:val="center"/>
            <w:hideMark/>
          </w:tcPr>
          <w:p w14:paraId="4802753D" w14:textId="77777777" w:rsidR="00B976E4" w:rsidRPr="00700CAA" w:rsidRDefault="00B976E4" w:rsidP="00B976E4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700CAA">
              <w:rPr>
                <w:rFonts w:cs="Calibri"/>
                <w:b/>
                <w:bCs/>
                <w:color w:val="000000"/>
              </w:rPr>
              <w:t>Reviewer</w:t>
            </w:r>
          </w:p>
        </w:tc>
      </w:tr>
      <w:tr w:rsidR="00B976E4" w:rsidRPr="00700CAA" w14:paraId="63FEB06C" w14:textId="77777777" w:rsidTr="006B0EC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DC16DE" w14:textId="77777777" w:rsidR="00B976E4" w:rsidRPr="00700CAA" w:rsidRDefault="00B976E4" w:rsidP="00B976E4">
            <w:pPr>
              <w:rPr>
                <w:rFonts w:cs="Calibri"/>
                <w:color w:val="000000"/>
              </w:rPr>
            </w:pPr>
            <w:r w:rsidRPr="00700CAA">
              <w:rPr>
                <w:rFonts w:cs="Calibri"/>
                <w:color w:val="000000"/>
              </w:rPr>
              <w:t>07/20/2025</w:t>
            </w:r>
          </w:p>
        </w:tc>
        <w:tc>
          <w:tcPr>
            <w:tcW w:w="5657" w:type="dxa"/>
            <w:vAlign w:val="center"/>
            <w:hideMark/>
          </w:tcPr>
          <w:p w14:paraId="48663BBB" w14:textId="77777777" w:rsidR="00B976E4" w:rsidRPr="00700CAA" w:rsidRDefault="00B976E4" w:rsidP="00B976E4">
            <w:pPr>
              <w:rPr>
                <w:rFonts w:cs="Calibri"/>
                <w:color w:val="000000"/>
              </w:rPr>
            </w:pPr>
            <w:r w:rsidRPr="00700CAA">
              <w:rPr>
                <w:rFonts w:cs="Calibri"/>
                <w:color w:val="000000"/>
              </w:rPr>
              <w:t>Updated for NIST CSF 2.0 and SP 800-53 R5</w:t>
            </w:r>
          </w:p>
        </w:tc>
        <w:tc>
          <w:tcPr>
            <w:tcW w:w="2648" w:type="dxa"/>
            <w:vAlign w:val="center"/>
            <w:hideMark/>
          </w:tcPr>
          <w:p w14:paraId="150E6328" w14:textId="77777777" w:rsidR="00B976E4" w:rsidRPr="00700CAA" w:rsidRDefault="00B976E4" w:rsidP="00B976E4">
            <w:pPr>
              <w:rPr>
                <w:rFonts w:cs="Calibri"/>
                <w:color w:val="000000"/>
              </w:rPr>
            </w:pPr>
            <w:r w:rsidRPr="00700CAA">
              <w:rPr>
                <w:rFonts w:cs="Calibri"/>
                <w:color w:val="000000"/>
              </w:rPr>
              <w:t>ISO</w:t>
            </w:r>
          </w:p>
        </w:tc>
      </w:tr>
    </w:tbl>
    <w:p w14:paraId="10FAF777" w14:textId="77777777" w:rsidR="00B976E4" w:rsidRPr="00B976E4" w:rsidRDefault="00B976E4" w:rsidP="00B976E4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3C9CC67" w14:textId="77777777" w:rsidR="00B976E4" w:rsidRPr="00B976E4" w:rsidRDefault="00B976E4" w:rsidP="00B976E4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B976E4">
        <w:rPr>
          <w:rFonts w:cs="Calibri"/>
          <w:b/>
          <w:bCs/>
          <w:color w:val="000000"/>
          <w:sz w:val="36"/>
          <w:szCs w:val="36"/>
        </w:rPr>
        <w:t>Related Documents</w:t>
      </w:r>
    </w:p>
    <w:p w14:paraId="0FB35321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Information Security Policy</w:t>
      </w:r>
    </w:p>
    <w:p w14:paraId="6D88C5F1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Acceptable Use of Information Technology Resources Policy</w:t>
      </w:r>
    </w:p>
    <w:p w14:paraId="331EAE28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Data Protection Policy</w:t>
      </w:r>
    </w:p>
    <w:p w14:paraId="3B0BF4E5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Role-Based Access Control (RBAC) Policy</w:t>
      </w:r>
    </w:p>
    <w:p w14:paraId="54BED027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Network Security Policy</w:t>
      </w:r>
    </w:p>
    <w:p w14:paraId="374455A4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Remote Access Policy</w:t>
      </w:r>
    </w:p>
    <w:p w14:paraId="53963684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Wireless Access Policy</w:t>
      </w:r>
    </w:p>
    <w:p w14:paraId="44B639CC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Mobile Device Policy</w:t>
      </w:r>
    </w:p>
    <w:p w14:paraId="1DD42AC4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Incident Response Policy</w:t>
      </w:r>
    </w:p>
    <w:p w14:paraId="6F796B01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Configuration Management Policy</w:t>
      </w:r>
    </w:p>
    <w:p w14:paraId="200B0259" w14:textId="77777777" w:rsidR="00B976E4" w:rsidRPr="00B976E4" w:rsidRDefault="00B976E4" w:rsidP="00B976E4">
      <w:pPr>
        <w:numPr>
          <w:ilvl w:val="0"/>
          <w:numId w:val="15"/>
        </w:numPr>
        <w:rPr>
          <w:rFonts w:cs="Calibri"/>
          <w:color w:val="000000"/>
        </w:rPr>
      </w:pPr>
      <w:r w:rsidRPr="00B976E4">
        <w:rPr>
          <w:rFonts w:cs="Calibri"/>
          <w:color w:val="000000"/>
        </w:rPr>
        <w:t>[Entity] Security Plan</w:t>
      </w:r>
    </w:p>
    <w:p w14:paraId="1172C2F0" w14:textId="77777777" w:rsidR="00B976E4" w:rsidRPr="00B976E4" w:rsidRDefault="00B976E4" w:rsidP="00B976E4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6692589A" w14:textId="129DD4B1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Responsible Department</w:t>
      </w:r>
    </w:p>
    <w:p w14:paraId="175DF1ED" w14:textId="091E4036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>Chief Information Office</w:t>
      </w:r>
      <w:r w:rsidR="00B976E4">
        <w:rPr>
          <w:rFonts w:cs="Calibri"/>
          <w:color w:val="000000"/>
        </w:rPr>
        <w:t>r</w:t>
      </w:r>
      <w:r w:rsidRPr="006005D9">
        <w:rPr>
          <w:rFonts w:cs="Calibri"/>
          <w:color w:val="000000"/>
        </w:rPr>
        <w:t xml:space="preserve"> and Information System Owners</w:t>
      </w:r>
      <w:r w:rsidRPr="006005D9">
        <w:rPr>
          <w:rFonts w:cs="Calibri"/>
          <w:color w:val="000000"/>
        </w:rPr>
        <w:br/>
        <w:t>Contact:</w:t>
      </w:r>
    </w:p>
    <w:p w14:paraId="0A16CCBF" w14:textId="77777777" w:rsidR="006005D9" w:rsidRPr="006005D9" w:rsidRDefault="006005D9" w:rsidP="006005D9">
      <w:pPr>
        <w:numPr>
          <w:ilvl w:val="0"/>
          <w:numId w:val="1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Email: security@[entity].org</w:t>
      </w:r>
    </w:p>
    <w:p w14:paraId="27B95EFB" w14:textId="77777777" w:rsidR="006005D9" w:rsidRPr="006005D9" w:rsidRDefault="006005D9" w:rsidP="006005D9">
      <w:pPr>
        <w:numPr>
          <w:ilvl w:val="0"/>
          <w:numId w:val="1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Helpdesk: (123) 456-7890</w:t>
      </w:r>
    </w:p>
    <w:p w14:paraId="0D7D8161" w14:textId="77777777" w:rsidR="006005D9" w:rsidRPr="006005D9" w:rsidRDefault="006005D9" w:rsidP="006005D9">
      <w:pPr>
        <w:numPr>
          <w:ilvl w:val="0"/>
          <w:numId w:val="12"/>
        </w:numPr>
        <w:rPr>
          <w:rFonts w:cs="Calibri"/>
          <w:color w:val="000000"/>
        </w:rPr>
      </w:pPr>
      <w:r w:rsidRPr="006005D9">
        <w:rPr>
          <w:rFonts w:cs="Calibri"/>
          <w:color w:val="000000"/>
        </w:rPr>
        <w:t>Portal: https://[entity].org/security</w:t>
      </w:r>
    </w:p>
    <w:p w14:paraId="17A1000A" w14:textId="77777777" w:rsid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2D91093" w14:textId="1D4C6A91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Training</w:t>
      </w:r>
    </w:p>
    <w:p w14:paraId="7C5DA2ED" w14:textId="5A9EA61D" w:rsidR="006005D9" w:rsidRPr="006005D9" w:rsidRDefault="006005D9" w:rsidP="006005D9">
      <w:pPr>
        <w:rPr>
          <w:rFonts w:cs="Calibri"/>
          <w:color w:val="000000"/>
        </w:rPr>
      </w:pPr>
      <w:r w:rsidRPr="006005D9">
        <w:rPr>
          <w:rFonts w:cs="Calibri"/>
          <w:color w:val="000000"/>
        </w:rPr>
        <w:t xml:space="preserve">Users and administrators must complete annual access control training, including tabletop exercises, </w:t>
      </w:r>
      <w:r w:rsidR="00B976E4">
        <w:rPr>
          <w:rFonts w:cs="Calibri"/>
          <w:color w:val="000000"/>
        </w:rPr>
        <w:t>as required by</w:t>
      </w:r>
      <w:r w:rsidRPr="006005D9">
        <w:rPr>
          <w:rFonts w:cs="Calibri"/>
          <w:color w:val="000000"/>
        </w:rPr>
        <w:t xml:space="preserve"> NIST CSF 2.0 (PR.AT) and SP 800-53 (AT-2).</w:t>
      </w:r>
    </w:p>
    <w:p w14:paraId="76E69750" w14:textId="77777777" w:rsid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</w:p>
    <w:p w14:paraId="2F4061E6" w14:textId="168B3E6D" w:rsidR="006005D9" w:rsidRPr="006005D9" w:rsidRDefault="006005D9" w:rsidP="006005D9">
      <w:pPr>
        <w:outlineLvl w:val="1"/>
        <w:rPr>
          <w:rFonts w:cs="Calibri"/>
          <w:b/>
          <w:bCs/>
          <w:color w:val="000000"/>
          <w:sz w:val="36"/>
          <w:szCs w:val="36"/>
        </w:rPr>
      </w:pPr>
      <w:r w:rsidRPr="006005D9">
        <w:rPr>
          <w:rFonts w:cs="Calibri"/>
          <w:b/>
          <w:bCs/>
          <w:color w:val="000000"/>
          <w:sz w:val="36"/>
          <w:szCs w:val="36"/>
        </w:rPr>
        <w:t>Date Issued/Date Reviewed</w:t>
      </w:r>
    </w:p>
    <w:p w14:paraId="53F87B83" w14:textId="77777777" w:rsidR="006005D9" w:rsidRPr="006005D9" w:rsidRDefault="006005D9" w:rsidP="006005D9">
      <w:pPr>
        <w:numPr>
          <w:ilvl w:val="0"/>
          <w:numId w:val="13"/>
        </w:numPr>
        <w:rPr>
          <w:rFonts w:cs="Calibri"/>
          <w:color w:val="000000"/>
        </w:rPr>
      </w:pPr>
      <w:r w:rsidRPr="006005D9">
        <w:rPr>
          <w:rFonts w:cs="Calibri"/>
          <w:b/>
          <w:bCs/>
          <w:color w:val="000000"/>
        </w:rPr>
        <w:t>Date Issued:</w:t>
      </w:r>
      <w:r w:rsidRPr="006005D9">
        <w:rPr>
          <w:rFonts w:cs="Calibri"/>
          <w:color w:val="000000"/>
        </w:rPr>
        <w:t> July 20, 2025</w:t>
      </w:r>
    </w:p>
    <w:p w14:paraId="7EA72AF3" w14:textId="77777777" w:rsidR="006005D9" w:rsidRPr="006005D9" w:rsidRDefault="006005D9" w:rsidP="006005D9">
      <w:pPr>
        <w:numPr>
          <w:ilvl w:val="0"/>
          <w:numId w:val="13"/>
        </w:numPr>
        <w:rPr>
          <w:rFonts w:cs="Calibri"/>
          <w:color w:val="000000"/>
        </w:rPr>
      </w:pPr>
      <w:r w:rsidRPr="006005D9">
        <w:rPr>
          <w:rFonts w:cs="Calibri"/>
          <w:b/>
          <w:bCs/>
          <w:color w:val="000000"/>
        </w:rPr>
        <w:t>Date Reviewed:</w:t>
      </w:r>
      <w:r w:rsidRPr="006005D9">
        <w:rPr>
          <w:rFonts w:cs="Calibri"/>
          <w:color w:val="000000"/>
        </w:rPr>
        <w:t> Annually, next review by July 20, 2026</w:t>
      </w:r>
    </w:p>
    <w:p w14:paraId="66428D31" w14:textId="77777777" w:rsidR="006005D9" w:rsidRPr="006005D9" w:rsidRDefault="006005D9" w:rsidP="006005D9">
      <w:pPr>
        <w:rPr>
          <w:rFonts w:cs="Calibri"/>
        </w:rPr>
      </w:pPr>
    </w:p>
    <w:sectPr w:rsidR="006005D9" w:rsidRPr="006005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760C"/>
    <w:multiLevelType w:val="multilevel"/>
    <w:tmpl w:val="1236E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87E7D"/>
    <w:multiLevelType w:val="hybridMultilevel"/>
    <w:tmpl w:val="9FAC3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082B63"/>
    <w:multiLevelType w:val="multilevel"/>
    <w:tmpl w:val="61E64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214324"/>
    <w:multiLevelType w:val="multilevel"/>
    <w:tmpl w:val="0E60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8F730D"/>
    <w:multiLevelType w:val="hybridMultilevel"/>
    <w:tmpl w:val="F5A8D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646833"/>
    <w:multiLevelType w:val="hybridMultilevel"/>
    <w:tmpl w:val="A350A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EE0526"/>
    <w:multiLevelType w:val="hybridMultilevel"/>
    <w:tmpl w:val="70968A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4F4DD2"/>
    <w:multiLevelType w:val="hybridMultilevel"/>
    <w:tmpl w:val="64AEBD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5F270F"/>
    <w:multiLevelType w:val="multilevel"/>
    <w:tmpl w:val="577A56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627002"/>
    <w:multiLevelType w:val="hybridMultilevel"/>
    <w:tmpl w:val="98F69F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EC3AB6"/>
    <w:multiLevelType w:val="hybridMultilevel"/>
    <w:tmpl w:val="47923B3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ED5064"/>
    <w:multiLevelType w:val="hybridMultilevel"/>
    <w:tmpl w:val="A77014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31177A"/>
    <w:multiLevelType w:val="hybridMultilevel"/>
    <w:tmpl w:val="AD74CC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7B697A"/>
    <w:multiLevelType w:val="multilevel"/>
    <w:tmpl w:val="59D49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AE2A25"/>
    <w:multiLevelType w:val="hybridMultilevel"/>
    <w:tmpl w:val="282A6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006083">
    <w:abstractNumId w:val="3"/>
  </w:num>
  <w:num w:numId="2" w16cid:durableId="613906149">
    <w:abstractNumId w:val="8"/>
  </w:num>
  <w:num w:numId="3" w16cid:durableId="555968805">
    <w:abstractNumId w:val="12"/>
  </w:num>
  <w:num w:numId="4" w16cid:durableId="326446471">
    <w:abstractNumId w:val="7"/>
  </w:num>
  <w:num w:numId="5" w16cid:durableId="2071220975">
    <w:abstractNumId w:val="11"/>
  </w:num>
  <w:num w:numId="6" w16cid:durableId="1184514173">
    <w:abstractNumId w:val="4"/>
  </w:num>
  <w:num w:numId="7" w16cid:durableId="2003198110">
    <w:abstractNumId w:val="6"/>
  </w:num>
  <w:num w:numId="8" w16cid:durableId="96828369">
    <w:abstractNumId w:val="9"/>
  </w:num>
  <w:num w:numId="9" w16cid:durableId="2052414997">
    <w:abstractNumId w:val="1"/>
  </w:num>
  <w:num w:numId="10" w16cid:durableId="1557665133">
    <w:abstractNumId w:val="5"/>
  </w:num>
  <w:num w:numId="11" w16cid:durableId="1994942414">
    <w:abstractNumId w:val="10"/>
  </w:num>
  <w:num w:numId="12" w16cid:durableId="55780897">
    <w:abstractNumId w:val="0"/>
  </w:num>
  <w:num w:numId="13" w16cid:durableId="68695120">
    <w:abstractNumId w:val="13"/>
  </w:num>
  <w:num w:numId="14" w16cid:durableId="581187173">
    <w:abstractNumId w:val="14"/>
  </w:num>
  <w:num w:numId="15" w16cid:durableId="16893359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D9"/>
    <w:rsid w:val="000877C2"/>
    <w:rsid w:val="002D2A9F"/>
    <w:rsid w:val="003A5CFB"/>
    <w:rsid w:val="003F05AE"/>
    <w:rsid w:val="006005D9"/>
    <w:rsid w:val="00AA7C64"/>
    <w:rsid w:val="00B976E4"/>
    <w:rsid w:val="00BB6342"/>
    <w:rsid w:val="00E70EC2"/>
    <w:rsid w:val="00F37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D823F2"/>
  <w15:chartTrackingRefBased/>
  <w15:docId w15:val="{445FF4AC-514E-D84E-BBB2-88FAA006A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05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05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5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5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5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5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5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5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005D9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005D9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5D9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5D9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5D9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5D9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5D9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5D9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005D9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5D9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5D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5D9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6005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5D9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6005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5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5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5D9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6005D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005D9"/>
    <w:pPr>
      <w:spacing w:before="100" w:beforeAutospacing="1" w:after="100" w:afterAutospacing="1"/>
    </w:pPr>
    <w:rPr>
      <w:rFonts w:ascii="Times New Roman" w:hAnsi="Times New Roman"/>
      <w:color w:val="auto"/>
    </w:rPr>
  </w:style>
  <w:style w:type="character" w:styleId="Strong">
    <w:name w:val="Strong"/>
    <w:basedOn w:val="DefaultParagraphFont"/>
    <w:uiPriority w:val="22"/>
    <w:qFormat/>
    <w:rsid w:val="006005D9"/>
    <w:rPr>
      <w:b/>
      <w:bCs/>
    </w:rPr>
  </w:style>
  <w:style w:type="character" w:customStyle="1" w:styleId="apple-converted-space">
    <w:name w:val="apple-converted-space"/>
    <w:basedOn w:val="DefaultParagraphFont"/>
    <w:rsid w:val="006005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1495</Words>
  <Characters>8522</Characters>
  <Application>Microsoft Office Word</Application>
  <DocSecurity>0</DocSecurity>
  <Lines>71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</dc:creator>
  <cp:keywords/>
  <dc:description/>
  <cp:lastModifiedBy>carl pitts</cp:lastModifiedBy>
  <cp:revision>2</cp:revision>
  <dcterms:created xsi:type="dcterms:W3CDTF">2025-07-20T09:50:00Z</dcterms:created>
  <dcterms:modified xsi:type="dcterms:W3CDTF">2025-07-20T10:18:00Z</dcterms:modified>
</cp:coreProperties>
</file>