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167C" w14:textId="7A88A9C1" w:rsidR="006C0D42" w:rsidRPr="006C0D42" w:rsidRDefault="006C0D42" w:rsidP="006C0D42">
      <w:pPr>
        <w:spacing w:before="100" w:beforeAutospacing="1" w:after="100" w:afterAutospacing="1"/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  <w:r w:rsidRPr="006C0D42">
        <w:rPr>
          <w:rFonts w:cs="Calibri"/>
          <w:b/>
          <w:bCs/>
          <w:color w:val="000000"/>
          <w:kern w:val="36"/>
          <w:sz w:val="48"/>
          <w:szCs w:val="48"/>
        </w:rPr>
        <w:t>IT-00</w:t>
      </w:r>
      <w:r w:rsidR="008F0D04">
        <w:rPr>
          <w:rFonts w:cs="Calibri"/>
          <w:b/>
          <w:bCs/>
          <w:color w:val="000000"/>
          <w:kern w:val="36"/>
          <w:sz w:val="48"/>
          <w:szCs w:val="48"/>
        </w:rPr>
        <w:t>8 -</w:t>
      </w:r>
      <w:r w:rsidRPr="006C0D42">
        <w:rPr>
          <w:rFonts w:cs="Calibri"/>
          <w:b/>
          <w:bCs/>
          <w:color w:val="000000"/>
          <w:kern w:val="36"/>
          <w:sz w:val="48"/>
          <w:szCs w:val="48"/>
        </w:rPr>
        <w:t xml:space="preserve"> Policy Glossary of Terms and Abbreviations</w:t>
      </w:r>
    </w:p>
    <w:p w14:paraId="6F706A09" w14:textId="15FAB880" w:rsidR="006C0D42" w:rsidRPr="006C0D42" w:rsidRDefault="006C0D42" w:rsidP="006C0D42">
      <w:pPr>
        <w:spacing w:before="100" w:beforeAutospacing="1" w:after="100" w:afterAutospacing="1"/>
        <w:rPr>
          <w:rFonts w:cs="Calibri"/>
          <w:color w:val="000000"/>
        </w:rPr>
      </w:pPr>
      <w:r w:rsidRPr="006C0D42">
        <w:rPr>
          <w:rFonts w:cs="Calibri"/>
          <w:color w:val="000000"/>
        </w:rPr>
        <w:t xml:space="preserve">This glossary </w:t>
      </w:r>
      <w:r>
        <w:rPr>
          <w:rFonts w:cs="Calibri"/>
          <w:color w:val="000000"/>
        </w:rPr>
        <w:t>explain</w:t>
      </w:r>
      <w:r w:rsidRPr="006C0D42">
        <w:rPr>
          <w:rFonts w:cs="Calibri"/>
          <w:color w:val="000000"/>
        </w:rPr>
        <w:t xml:space="preserve">s key terms and abbreviations used </w:t>
      </w:r>
      <w:r>
        <w:rPr>
          <w:rFonts w:cs="Calibri"/>
          <w:color w:val="000000"/>
        </w:rPr>
        <w:t>throughout</w:t>
      </w:r>
      <w:r w:rsidRPr="006C0D42">
        <w:rPr>
          <w:rFonts w:cs="Calibri"/>
          <w:color w:val="000000"/>
        </w:rPr>
        <w:t xml:space="preserve"> [Entity]'s IT policies (IT-001–IT-007) to </w:t>
      </w:r>
      <w:r>
        <w:rPr>
          <w:rFonts w:cs="Calibri"/>
          <w:color w:val="000000"/>
        </w:rPr>
        <w:t>promot</w:t>
      </w:r>
      <w:r w:rsidRPr="006C0D42">
        <w:rPr>
          <w:rFonts w:cs="Calibri"/>
          <w:color w:val="000000"/>
        </w:rPr>
        <w:t>e consistent understanding and compliance with NIST Cybersecurity Framework (CSF) 2.0, NIST SP 800-53 Revision 5, NIST SP 800-171, and related standards.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9"/>
        <w:gridCol w:w="7305"/>
      </w:tblGrid>
      <w:tr w:rsidR="006C0D42" w:rsidRPr="006C0D42" w14:paraId="3E35CC54" w14:textId="77777777" w:rsidTr="006C0D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A0D70D" w14:textId="77777777" w:rsidR="006C0D42" w:rsidRPr="006C0D42" w:rsidRDefault="006C0D42" w:rsidP="006C0D42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Term/Abbreviation</w:t>
            </w:r>
          </w:p>
        </w:tc>
        <w:tc>
          <w:tcPr>
            <w:tcW w:w="7260" w:type="dxa"/>
            <w:vAlign w:val="center"/>
            <w:hideMark/>
          </w:tcPr>
          <w:p w14:paraId="2366EA43" w14:textId="77777777" w:rsidR="006C0D42" w:rsidRPr="006C0D42" w:rsidRDefault="006C0D42" w:rsidP="006C0D42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Definition</w:t>
            </w:r>
          </w:p>
        </w:tc>
      </w:tr>
      <w:tr w:rsidR="006C0D42" w:rsidRPr="006C0D42" w14:paraId="1720948C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C9100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ABAC</w:t>
            </w:r>
          </w:p>
        </w:tc>
        <w:tc>
          <w:tcPr>
            <w:tcW w:w="7260" w:type="dxa"/>
            <w:vAlign w:val="center"/>
            <w:hideMark/>
          </w:tcPr>
          <w:p w14:paraId="7E8388B5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Attribute-Based Access Control</w:t>
            </w:r>
            <w:r w:rsidRPr="006C0D42">
              <w:rPr>
                <w:rFonts w:cs="Calibri"/>
                <w:color w:val="000000"/>
              </w:rPr>
              <w:t>: A method of regulating access to systems or data based on attributes of users, resources, or environments, per NIST SP 800-53 (AC-3).</w:t>
            </w:r>
          </w:p>
        </w:tc>
      </w:tr>
      <w:tr w:rsidR="006C0D42" w:rsidRPr="006C0D42" w14:paraId="57515757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F7E06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Audit Log</w:t>
            </w:r>
          </w:p>
        </w:tc>
        <w:tc>
          <w:tcPr>
            <w:tcW w:w="7260" w:type="dxa"/>
            <w:vAlign w:val="center"/>
            <w:hideMark/>
          </w:tcPr>
          <w:p w14:paraId="19C28ABE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Records of system activities used for monitoring and auditing, such as user logins or configuration changes, per NIST SP 800-53 (AU-2).</w:t>
            </w:r>
          </w:p>
        </w:tc>
      </w:tr>
      <w:tr w:rsidR="006C0D42" w:rsidRPr="006C0D42" w14:paraId="48C4BC07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086E9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CISO</w:t>
            </w:r>
          </w:p>
        </w:tc>
        <w:tc>
          <w:tcPr>
            <w:tcW w:w="7260" w:type="dxa"/>
            <w:vAlign w:val="center"/>
            <w:hideMark/>
          </w:tcPr>
          <w:p w14:paraId="51947E79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Chief Information Security Officer</w:t>
            </w:r>
            <w:r w:rsidRPr="006C0D42">
              <w:rPr>
                <w:rFonts w:cs="Calibri"/>
                <w:color w:val="000000"/>
              </w:rPr>
              <w:t>: The senior-level executive responsible for developing and overseeing the information security program, including policy, strategy, and incident response coordination, per NIST SP 800-53 (PM-2).</w:t>
            </w:r>
          </w:p>
        </w:tc>
      </w:tr>
      <w:tr w:rsidR="006C0D42" w:rsidRPr="006C0D42" w14:paraId="469C44F9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E2ABD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Collaborative Computing Devices</w:t>
            </w:r>
          </w:p>
        </w:tc>
        <w:tc>
          <w:tcPr>
            <w:tcW w:w="7260" w:type="dxa"/>
            <w:vAlign w:val="center"/>
            <w:hideMark/>
          </w:tcPr>
          <w:p w14:paraId="236A7877" w14:textId="15FDF4F5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Devices enabling real-time interaction (e.g., video conferencing systems), requiring specific security controls to prevent unauthori</w:t>
            </w:r>
            <w:r>
              <w:rPr>
                <w:rFonts w:cs="Calibri"/>
                <w:color w:val="000000"/>
              </w:rPr>
              <w:t>s</w:t>
            </w:r>
            <w:r w:rsidRPr="006C0D42">
              <w:rPr>
                <w:rFonts w:cs="Calibri"/>
                <w:color w:val="000000"/>
              </w:rPr>
              <w:t>ed activation, per NIST SP 800-53 (SC-15).</w:t>
            </w:r>
          </w:p>
        </w:tc>
      </w:tr>
      <w:tr w:rsidR="006C0D42" w:rsidRPr="006C0D42" w14:paraId="5E3DE959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ED2D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Continuous Monitoring</w:t>
            </w:r>
          </w:p>
        </w:tc>
        <w:tc>
          <w:tcPr>
            <w:tcW w:w="7260" w:type="dxa"/>
            <w:vAlign w:val="center"/>
            <w:hideMark/>
          </w:tcPr>
          <w:p w14:paraId="77BB0F11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Ongoing assessment of security controls to detect vulnerabilities and ensure compliance, using tools like SIEM systems, per NIST SP 800-137.</w:t>
            </w:r>
          </w:p>
        </w:tc>
      </w:tr>
      <w:tr w:rsidR="006C0D42" w:rsidRPr="006C0D42" w14:paraId="4A7C4EC6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DE403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CUI</w:t>
            </w:r>
          </w:p>
        </w:tc>
        <w:tc>
          <w:tcPr>
            <w:tcW w:w="7260" w:type="dxa"/>
            <w:vAlign w:val="center"/>
            <w:hideMark/>
          </w:tcPr>
          <w:p w14:paraId="6390F10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Controlled Unclassified Information</w:t>
            </w:r>
            <w:r w:rsidRPr="006C0D42">
              <w:rPr>
                <w:rFonts w:cs="Calibri"/>
                <w:color w:val="000000"/>
              </w:rPr>
              <w:t>: Information requiring safeguarding or dissemination controls pursuant to federal law, regulation, or policy, per NIST SP 800-171.</w:t>
            </w:r>
          </w:p>
        </w:tc>
      </w:tr>
      <w:tr w:rsidR="006C0D42" w:rsidRPr="006C0D42" w14:paraId="27565E37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6CD9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Environmental Controls</w:t>
            </w:r>
          </w:p>
        </w:tc>
        <w:tc>
          <w:tcPr>
            <w:tcW w:w="7260" w:type="dxa"/>
            <w:vAlign w:val="center"/>
            <w:hideMark/>
          </w:tcPr>
          <w:p w14:paraId="3A6A9EAE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Systems such as fire suppression, HVAC, and power management that protect IT facilities, per NIST SP 800-53 (PE-13).</w:t>
            </w:r>
          </w:p>
        </w:tc>
      </w:tr>
      <w:tr w:rsidR="006C0D42" w:rsidRPr="006C0D42" w14:paraId="06E0B112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93820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FICAM</w:t>
            </w:r>
          </w:p>
        </w:tc>
        <w:tc>
          <w:tcPr>
            <w:tcW w:w="7260" w:type="dxa"/>
            <w:vAlign w:val="center"/>
            <w:hideMark/>
          </w:tcPr>
          <w:p w14:paraId="5A9AFCCA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Federal Identity, Credential, and Access Management</w:t>
            </w:r>
            <w:r w:rsidRPr="006C0D42">
              <w:rPr>
                <w:rFonts w:cs="Calibri"/>
                <w:color w:val="000000"/>
              </w:rPr>
              <w:t>: A framework for trusted identity solutions, enabling secure credential acceptance across agencies, per NIST SP 800-63.</w:t>
            </w:r>
          </w:p>
        </w:tc>
      </w:tr>
      <w:tr w:rsidR="006C0D42" w:rsidRPr="006C0D42" w14:paraId="4B908B9B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5B14A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FIPS</w:t>
            </w:r>
          </w:p>
        </w:tc>
        <w:tc>
          <w:tcPr>
            <w:tcW w:w="7260" w:type="dxa"/>
            <w:vAlign w:val="center"/>
            <w:hideMark/>
          </w:tcPr>
          <w:p w14:paraId="109F551A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Federal Information Processing Standards</w:t>
            </w:r>
            <w:r w:rsidRPr="006C0D42">
              <w:rPr>
                <w:rFonts w:cs="Calibri"/>
                <w:color w:val="000000"/>
              </w:rPr>
              <w:t>: Standards for cryptographic modules (e.g., FIPS 140-3) and personal identity verification (e.g., FIPS 201), per NIST publications.</w:t>
            </w:r>
          </w:p>
        </w:tc>
      </w:tr>
      <w:tr w:rsidR="006C0D42" w:rsidRPr="006C0D42" w14:paraId="471DED11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885E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IAL</w:t>
            </w:r>
          </w:p>
        </w:tc>
        <w:tc>
          <w:tcPr>
            <w:tcW w:w="7260" w:type="dxa"/>
            <w:vAlign w:val="center"/>
            <w:hideMark/>
          </w:tcPr>
          <w:p w14:paraId="1045215F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Identity Assurance Level</w:t>
            </w:r>
            <w:r w:rsidRPr="006C0D42">
              <w:rPr>
                <w:rFonts w:cs="Calibri"/>
                <w:color w:val="000000"/>
              </w:rPr>
              <w:t>: The degree of confidence in a user’s identity, ranging from low (IAL 1) to high (IAL 3), per NIST SP 800-63-3.</w:t>
            </w:r>
          </w:p>
        </w:tc>
      </w:tr>
      <w:tr w:rsidR="006C0D42" w:rsidRPr="006C0D42" w14:paraId="0D2CD12E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C6E7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Insider Threat</w:t>
            </w:r>
          </w:p>
        </w:tc>
        <w:tc>
          <w:tcPr>
            <w:tcW w:w="7260" w:type="dxa"/>
            <w:vAlign w:val="center"/>
            <w:hideMark/>
          </w:tcPr>
          <w:p w14:paraId="77C64AB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Actions by authorized users (e.g., employees, contractors) that harm systems or data, such as unauthorized access or data exfiltration, per NIST SP 800-53 (PM-16).</w:t>
            </w:r>
          </w:p>
        </w:tc>
      </w:tr>
      <w:tr w:rsidR="006C0D42" w:rsidRPr="006C0D42" w14:paraId="7774B962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199DF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ISA</w:t>
            </w:r>
          </w:p>
        </w:tc>
        <w:tc>
          <w:tcPr>
            <w:tcW w:w="7260" w:type="dxa"/>
            <w:vAlign w:val="center"/>
            <w:hideMark/>
          </w:tcPr>
          <w:p w14:paraId="3A58B06B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Interconnection Security Agreement</w:t>
            </w:r>
            <w:r w:rsidRPr="006C0D42">
              <w:rPr>
                <w:rFonts w:cs="Calibri"/>
                <w:color w:val="000000"/>
              </w:rPr>
              <w:t>: A documented agreement governing security requirements for system interconnections, per NIST SP 800-47.</w:t>
            </w:r>
          </w:p>
        </w:tc>
      </w:tr>
      <w:tr w:rsidR="006C0D42" w:rsidRPr="006C0D42" w14:paraId="4953A49F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8CD80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lastRenderedPageBreak/>
              <w:t>ISO</w:t>
            </w:r>
          </w:p>
        </w:tc>
        <w:tc>
          <w:tcPr>
            <w:tcW w:w="7260" w:type="dxa"/>
            <w:vAlign w:val="center"/>
            <w:hideMark/>
          </w:tcPr>
          <w:p w14:paraId="0AF08CBB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Information Security Officer</w:t>
            </w:r>
            <w:r w:rsidRPr="006C0D42">
              <w:rPr>
                <w:rFonts w:cs="Calibri"/>
                <w:color w:val="000000"/>
              </w:rPr>
              <w:t>: The individual or group responsible for evaluating and advising on information security risks, per NIST SP 800-53 (PM-2).</w:t>
            </w:r>
          </w:p>
        </w:tc>
      </w:tr>
      <w:tr w:rsidR="006C0D42" w:rsidRPr="006C0D42" w14:paraId="4097C7D0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F3491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IT Resources</w:t>
            </w:r>
          </w:p>
        </w:tc>
        <w:tc>
          <w:tcPr>
            <w:tcW w:w="7260" w:type="dxa"/>
            <w:vAlign w:val="center"/>
            <w:hideMark/>
          </w:tcPr>
          <w:p w14:paraId="15F0591F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Systems, networks, devices, and data owned or managed by [Entity], including third-party hosted systems, per NIST SP 800-53 (CM-8).</w:t>
            </w:r>
          </w:p>
        </w:tc>
      </w:tr>
      <w:tr w:rsidR="006C0D42" w:rsidRPr="006C0D42" w14:paraId="23634EDB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9505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Least Privilege</w:t>
            </w:r>
          </w:p>
        </w:tc>
        <w:tc>
          <w:tcPr>
            <w:tcW w:w="7260" w:type="dxa"/>
            <w:vAlign w:val="center"/>
            <w:hideMark/>
          </w:tcPr>
          <w:p w14:paraId="40EB7138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The principle of granting users only the access necessary for their assigned tasks, per NIST SP 800-53 (AC-6).</w:t>
            </w:r>
          </w:p>
        </w:tc>
      </w:tr>
      <w:tr w:rsidR="006C0D42" w:rsidRPr="006C0D42" w14:paraId="6732C574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4F569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MFA</w:t>
            </w:r>
          </w:p>
        </w:tc>
        <w:tc>
          <w:tcPr>
            <w:tcW w:w="7260" w:type="dxa"/>
            <w:vAlign w:val="center"/>
            <w:hideMark/>
          </w:tcPr>
          <w:p w14:paraId="0BD78C6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Multi-Factor Authentication</w:t>
            </w:r>
            <w:r w:rsidRPr="006C0D42">
              <w:rPr>
                <w:rFonts w:cs="Calibri"/>
                <w:color w:val="000000"/>
              </w:rPr>
              <w:t>: Authentication using two or more factors (e.g., password, token, biometric), per NIST SP 800-63B.</w:t>
            </w:r>
          </w:p>
        </w:tc>
      </w:tr>
      <w:tr w:rsidR="006C0D42" w:rsidRPr="006C0D42" w14:paraId="5FFF5767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DD227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PII</w:t>
            </w:r>
          </w:p>
        </w:tc>
        <w:tc>
          <w:tcPr>
            <w:tcW w:w="7260" w:type="dxa"/>
            <w:vAlign w:val="center"/>
            <w:hideMark/>
          </w:tcPr>
          <w:p w14:paraId="7003E1EE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Personally Identifiable Information</w:t>
            </w:r>
            <w:r w:rsidRPr="006C0D42">
              <w:rPr>
                <w:rFonts w:cs="Calibri"/>
                <w:color w:val="000000"/>
              </w:rPr>
              <w:t>: Information that can identify an individual (e.g., name, Social Security number), per NIST SP 800-122.</w:t>
            </w:r>
          </w:p>
        </w:tc>
      </w:tr>
      <w:tr w:rsidR="006C0D42" w:rsidRPr="006C0D42" w14:paraId="5C9515EB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8F27E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PIV</w:t>
            </w:r>
          </w:p>
        </w:tc>
        <w:tc>
          <w:tcPr>
            <w:tcW w:w="7260" w:type="dxa"/>
            <w:vAlign w:val="center"/>
            <w:hideMark/>
          </w:tcPr>
          <w:p w14:paraId="750BB113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Personal Identity Verification</w:t>
            </w:r>
            <w:r w:rsidRPr="006C0D42">
              <w:rPr>
                <w:rFonts w:cs="Calibri"/>
                <w:color w:val="000000"/>
              </w:rPr>
              <w:t>: Credentials meeting FIPS 201 standards for federal employees and contractors, used for secure authentication.</w:t>
            </w:r>
          </w:p>
        </w:tc>
      </w:tr>
      <w:tr w:rsidR="006C0D42" w:rsidRPr="006C0D42" w14:paraId="7CFFD038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6C77D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POA&amp;M</w:t>
            </w:r>
          </w:p>
        </w:tc>
        <w:tc>
          <w:tcPr>
            <w:tcW w:w="7260" w:type="dxa"/>
            <w:vAlign w:val="center"/>
            <w:hideMark/>
          </w:tcPr>
          <w:p w14:paraId="0DCFEE90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Plan of Action and Milestones</w:t>
            </w:r>
            <w:r w:rsidRPr="006C0D42">
              <w:rPr>
                <w:rFonts w:cs="Calibri"/>
                <w:color w:val="000000"/>
              </w:rPr>
              <w:t>: A document outlining remedial actions to address system vulnerabilities, prioritized by risk severity, per NIST SP 800-37.</w:t>
            </w:r>
          </w:p>
        </w:tc>
      </w:tr>
      <w:tr w:rsidR="006C0D42" w:rsidRPr="006C0D42" w14:paraId="2444D281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3E03D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RBAC</w:t>
            </w:r>
          </w:p>
        </w:tc>
        <w:tc>
          <w:tcPr>
            <w:tcW w:w="7260" w:type="dxa"/>
            <w:vAlign w:val="center"/>
            <w:hideMark/>
          </w:tcPr>
          <w:p w14:paraId="4D1E739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Role-Based Access Control</w:t>
            </w:r>
            <w:r w:rsidRPr="006C0D42">
              <w:rPr>
                <w:rFonts w:cs="Calibri"/>
                <w:color w:val="000000"/>
              </w:rPr>
              <w:t>: A method of regulating access based on user roles, per NIST SP 800-53 (AC-3).</w:t>
            </w:r>
          </w:p>
        </w:tc>
      </w:tr>
      <w:tr w:rsidR="006C0D42" w:rsidRPr="006C0D42" w14:paraId="062FA740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C5B40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RTO/RPO</w:t>
            </w:r>
          </w:p>
        </w:tc>
        <w:tc>
          <w:tcPr>
            <w:tcW w:w="7260" w:type="dxa"/>
            <w:vAlign w:val="center"/>
            <w:hideMark/>
          </w:tcPr>
          <w:p w14:paraId="2F55B5E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Recovery Time Objective/Recovery Point Objective</w:t>
            </w:r>
            <w:r w:rsidRPr="006C0D42">
              <w:rPr>
                <w:rFonts w:cs="Calibri"/>
                <w:color w:val="000000"/>
              </w:rPr>
              <w:t>: Metrics defining acceptable downtime and data loss for critical systems, per NIST SP 800-53 (CP-2).</w:t>
            </w:r>
          </w:p>
        </w:tc>
      </w:tr>
      <w:tr w:rsidR="006C0D42" w:rsidRPr="006C0D42" w14:paraId="7C737DB0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FF74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SDLC</w:t>
            </w:r>
          </w:p>
        </w:tc>
        <w:tc>
          <w:tcPr>
            <w:tcW w:w="7260" w:type="dxa"/>
            <w:vAlign w:val="center"/>
            <w:hideMark/>
          </w:tcPr>
          <w:p w14:paraId="642F0F86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Secure System Development Lifecycle</w:t>
            </w:r>
            <w:r w:rsidRPr="006C0D42">
              <w:rPr>
                <w:rFonts w:cs="Calibri"/>
                <w:color w:val="000000"/>
              </w:rPr>
              <w:t>: A process for integrating security into system development, from inception to decommissioning, per NIST SP 800-37.</w:t>
            </w:r>
          </w:p>
        </w:tc>
      </w:tr>
      <w:tr w:rsidR="006C0D42" w:rsidRPr="006C0D42" w14:paraId="5D52D783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9CC5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Security Controls</w:t>
            </w:r>
          </w:p>
        </w:tc>
        <w:tc>
          <w:tcPr>
            <w:tcW w:w="7260" w:type="dxa"/>
            <w:vAlign w:val="center"/>
            <w:hideMark/>
          </w:tcPr>
          <w:p w14:paraId="0E11D631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Safeguards or countermeasures to protect systems and data, addressing confidentiality, integrity, and availability, per NIST SP 800-53.</w:t>
            </w:r>
          </w:p>
        </w:tc>
      </w:tr>
      <w:tr w:rsidR="006C0D42" w:rsidRPr="006C0D42" w14:paraId="02332884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2A1E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Sensitive Data</w:t>
            </w:r>
          </w:p>
        </w:tc>
        <w:tc>
          <w:tcPr>
            <w:tcW w:w="7260" w:type="dxa"/>
            <w:vAlign w:val="center"/>
            <w:hideMark/>
          </w:tcPr>
          <w:p w14:paraId="21A997D9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color w:val="000000"/>
              </w:rPr>
              <w:t>Non-public data whose unauthorized disclosure could harm [Entity] or individuals, requiring protection per organizational policies.</w:t>
            </w:r>
          </w:p>
        </w:tc>
      </w:tr>
      <w:tr w:rsidR="006C0D42" w:rsidRPr="006C0D42" w14:paraId="0BBC1475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60AC5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SIEM</w:t>
            </w:r>
          </w:p>
        </w:tc>
        <w:tc>
          <w:tcPr>
            <w:tcW w:w="7260" w:type="dxa"/>
            <w:vAlign w:val="center"/>
            <w:hideMark/>
          </w:tcPr>
          <w:p w14:paraId="1FF817F7" w14:textId="56613974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Security Information and Event Management</w:t>
            </w:r>
            <w:r w:rsidRPr="006C0D42">
              <w:rPr>
                <w:rFonts w:cs="Calibri"/>
                <w:color w:val="000000"/>
              </w:rPr>
              <w:t>: Systems for collecting, analysing, and correlating security event data to detect anomalies, per NIST SP 800-137.</w:t>
            </w:r>
          </w:p>
        </w:tc>
      </w:tr>
      <w:tr w:rsidR="006C0D42" w:rsidRPr="006C0D42" w14:paraId="5FB364B7" w14:textId="77777777" w:rsidTr="006C0D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9890C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UTC</w:t>
            </w:r>
          </w:p>
        </w:tc>
        <w:tc>
          <w:tcPr>
            <w:tcW w:w="7260" w:type="dxa"/>
            <w:vAlign w:val="center"/>
            <w:hideMark/>
          </w:tcPr>
          <w:p w14:paraId="70BB6234" w14:textId="77777777" w:rsidR="006C0D42" w:rsidRPr="006C0D42" w:rsidRDefault="006C0D42" w:rsidP="006C0D42">
            <w:pPr>
              <w:rPr>
                <w:rFonts w:cs="Calibri"/>
                <w:color w:val="000000"/>
              </w:rPr>
            </w:pPr>
            <w:r w:rsidRPr="006C0D42">
              <w:rPr>
                <w:rFonts w:cs="Calibri"/>
                <w:b/>
                <w:bCs/>
                <w:color w:val="000000"/>
              </w:rPr>
              <w:t>Coordinated Universal Time</w:t>
            </w:r>
            <w:r w:rsidRPr="006C0D42">
              <w:rPr>
                <w:rFonts w:cs="Calibri"/>
                <w:color w:val="000000"/>
              </w:rPr>
              <w:t>: The standard time reference for synchronizing system clocks, per NIST SP 800-53 (AU-8).</w:t>
            </w:r>
          </w:p>
        </w:tc>
      </w:tr>
    </w:tbl>
    <w:p w14:paraId="6BF5D0AB" w14:textId="77777777" w:rsidR="002D2A9F" w:rsidRPr="006C0D42" w:rsidRDefault="002D2A9F">
      <w:pPr>
        <w:rPr>
          <w:rFonts w:cs="Calibri"/>
        </w:rPr>
      </w:pPr>
    </w:p>
    <w:sectPr w:rsidR="002D2A9F" w:rsidRPr="006C0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42"/>
    <w:rsid w:val="000877C2"/>
    <w:rsid w:val="002D2A9F"/>
    <w:rsid w:val="003F05AE"/>
    <w:rsid w:val="006C0D42"/>
    <w:rsid w:val="008F0D04"/>
    <w:rsid w:val="00AA7C64"/>
    <w:rsid w:val="00BB6342"/>
    <w:rsid w:val="00C857DF"/>
    <w:rsid w:val="00E70EC2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D51D7"/>
  <w15:chartTrackingRefBased/>
  <w15:docId w15:val="{FA7BE1FB-B665-184B-B86A-E23E54B3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D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D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D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D4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D4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D4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D4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D4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D42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D42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D42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D42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D42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D42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D42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C0D4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D4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D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D4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C0D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D42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6C0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D42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C0D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0D42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6C0D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3</cp:revision>
  <dcterms:created xsi:type="dcterms:W3CDTF">2025-07-21T14:18:00Z</dcterms:created>
  <dcterms:modified xsi:type="dcterms:W3CDTF">2025-07-21T14:18:00Z</dcterms:modified>
</cp:coreProperties>
</file>